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1D1" w:rsidRDefault="00B571D1" w:rsidP="00B571D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PHP-34102: Pharmacokinetics</w:t>
      </w:r>
    </w:p>
    <w:p w:rsidR="00B571D1" w:rsidRDefault="00B571D1" w:rsidP="00B571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1D1" w:rsidRDefault="00B571D1" w:rsidP="00B57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Dr. Imran Masood, PhD</w:t>
      </w:r>
    </w:p>
    <w:p w:rsidR="00B571D1" w:rsidRDefault="00B571D1" w:rsidP="00B571D1">
      <w:pPr>
        <w:jc w:val="center"/>
      </w:pPr>
      <w:hyperlink r:id="rId7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drimranmasood@iub.edu.pk</w:t>
        </w:r>
      </w:hyperlink>
    </w:p>
    <w:p w:rsidR="00B571D1" w:rsidRDefault="00B571D1" w:rsidP="00B571D1">
      <w:pPr>
        <w:jc w:val="center"/>
        <w:rPr>
          <w:b/>
          <w:bCs/>
          <w:sz w:val="52"/>
        </w:rPr>
      </w:pPr>
    </w:p>
    <w:p w:rsidR="00D51589" w:rsidRPr="00B571D1" w:rsidRDefault="005E4D20" w:rsidP="00B571D1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B571D1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WHO &amp; FD</w:t>
      </w:r>
      <w:r w:rsidR="00B571D1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A Guidelines for Bioequivalence </w:t>
      </w:r>
      <w:r w:rsidRPr="00B571D1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Studies</w:t>
      </w:r>
    </w:p>
    <w:p w:rsidR="00B959ED" w:rsidRDefault="00B959ED">
      <w:pPr>
        <w:rPr>
          <w:b/>
          <w:bCs/>
          <w:sz w:val="52"/>
        </w:rPr>
      </w:pPr>
    </w:p>
    <w:p w:rsidR="00B959ED" w:rsidRDefault="00B959ED">
      <w:pPr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                            </w:t>
      </w:r>
    </w:p>
    <w:p w:rsidR="005E4D20" w:rsidRDefault="005E4D20">
      <w:pPr>
        <w:rPr>
          <w:b/>
          <w:bCs/>
        </w:rPr>
      </w:pPr>
    </w:p>
    <w:p w:rsidR="005E4D20" w:rsidRDefault="005E4D20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5E4D20" w:rsidRDefault="005E4D20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B571D1" w:rsidRDefault="00B571D1">
      <w:pPr>
        <w:rPr>
          <w:b/>
          <w:bCs/>
        </w:rPr>
      </w:pPr>
    </w:p>
    <w:p w:rsidR="005E4D20" w:rsidRPr="00B571D1" w:rsidRDefault="005E4D2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Content </w:t>
      </w:r>
    </w:p>
    <w:p w:rsidR="005E4D20" w:rsidRPr="00B571D1" w:rsidRDefault="005E4D20" w:rsidP="007C31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Bioavailability</w:t>
      </w:r>
    </w:p>
    <w:p w:rsidR="004110FA" w:rsidRPr="00B571D1" w:rsidRDefault="007C31E8" w:rsidP="007C31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Absolute Bioavailability</w:t>
      </w:r>
    </w:p>
    <w:p w:rsidR="004110FA" w:rsidRPr="00B571D1" w:rsidRDefault="007C31E8" w:rsidP="007C31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Relative Bioavailability</w:t>
      </w:r>
    </w:p>
    <w:p w:rsidR="005E4D20" w:rsidRPr="00B571D1" w:rsidRDefault="005E4D20" w:rsidP="007C31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Bioequivalence</w:t>
      </w:r>
    </w:p>
    <w:p w:rsidR="005E4D20" w:rsidRPr="00B571D1" w:rsidRDefault="005E4D20" w:rsidP="007C31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Concept of Equivalents</w:t>
      </w:r>
    </w:p>
    <w:p w:rsidR="004110FA" w:rsidRPr="00B571D1" w:rsidRDefault="007C31E8" w:rsidP="007C31E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Pharmaceutical equivalents</w:t>
      </w:r>
    </w:p>
    <w:p w:rsidR="004110FA" w:rsidRPr="00B571D1" w:rsidRDefault="007C31E8" w:rsidP="007C31E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Pharmaceutical alternatives</w:t>
      </w:r>
      <w:r w:rsidRPr="00B57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0FA" w:rsidRPr="00B571D1" w:rsidRDefault="007C31E8" w:rsidP="007C31E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Therapeutic equivalence</w:t>
      </w:r>
    </w:p>
    <w:p w:rsidR="005E4D20" w:rsidRPr="00B571D1" w:rsidRDefault="005E4D20" w:rsidP="005E4D20">
      <w:pPr>
        <w:rPr>
          <w:rFonts w:ascii="Times New Roman" w:hAnsi="Times New Roman" w:cs="Times New Roman"/>
          <w:sz w:val="24"/>
          <w:szCs w:val="24"/>
        </w:rPr>
      </w:pPr>
    </w:p>
    <w:p w:rsidR="005E4D20" w:rsidRPr="00B571D1" w:rsidRDefault="005E4D2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Objectives of BA &amp; BE Studies</w:t>
      </w:r>
    </w:p>
    <w:p w:rsidR="005E4D20" w:rsidRPr="00B571D1" w:rsidRDefault="005E4D2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NDA vs. ANDA Review Process</w:t>
      </w:r>
    </w:p>
    <w:p w:rsidR="005E4D20" w:rsidRPr="00B571D1" w:rsidRDefault="005E4D2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FDA Methods to Determine Bioequivalence</w:t>
      </w:r>
    </w:p>
    <w:p w:rsidR="005E4D20" w:rsidRPr="00B571D1" w:rsidRDefault="005E4D2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In vivo bioequivalence</w:t>
      </w:r>
    </w:p>
    <w:p w:rsidR="005E4D20" w:rsidRPr="00B571D1" w:rsidRDefault="005E4D2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In vitro studies</w:t>
      </w:r>
    </w:p>
    <w:p w:rsidR="005E4D20" w:rsidRPr="00B571D1" w:rsidRDefault="005E4D2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Potential Situations where an In Vitro BE Determination May be of Use</w:t>
      </w:r>
    </w:p>
    <w:p w:rsidR="005E4D20" w:rsidRPr="00B571D1" w:rsidRDefault="005E4D2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Pharmacokinetic Studies in vivo</w:t>
      </w:r>
    </w:p>
    <w:p w:rsidR="005E4D20" w:rsidRPr="00B571D1" w:rsidRDefault="00A60405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Study Design</w:t>
      </w:r>
    </w:p>
    <w:p w:rsidR="00A60405" w:rsidRPr="00B571D1" w:rsidRDefault="00A60405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Parameters to be measured</w:t>
      </w:r>
    </w:p>
    <w:p w:rsidR="0003541C" w:rsidRPr="00B571D1" w:rsidRDefault="0003541C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Fasting &amp; Fed State Conditions</w:t>
      </w:r>
    </w:p>
    <w:p w:rsidR="004110FA" w:rsidRPr="00B571D1" w:rsidRDefault="007C31E8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Fed State Studies</w:t>
      </w:r>
    </w:p>
    <w:p w:rsidR="0003541C" w:rsidRPr="00B571D1" w:rsidRDefault="0003541C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Major Regulatory Agencies</w:t>
      </w:r>
    </w:p>
    <w:p w:rsidR="0003541C" w:rsidRPr="00B571D1" w:rsidRDefault="0003541C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Current BE Requirements </w:t>
      </w:r>
      <w:r w:rsidRPr="00B571D1">
        <w:rPr>
          <w:rFonts w:ascii="Times New Roman" w:hAnsi="Times New Roman" w:cs="Times New Roman"/>
          <w:sz w:val="24"/>
          <w:szCs w:val="24"/>
        </w:rPr>
        <w:br/>
        <w:t>FDA</w:t>
      </w:r>
    </w:p>
    <w:p w:rsidR="0003541C" w:rsidRPr="00B571D1" w:rsidRDefault="0003541C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Current BE Requirements WHO</w:t>
      </w:r>
    </w:p>
    <w:p w:rsidR="001B4B60" w:rsidRPr="00B571D1" w:rsidRDefault="001B4B60" w:rsidP="007C31E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BE Guild lines Reference </w:t>
      </w:r>
    </w:p>
    <w:p w:rsidR="001B4B60" w:rsidRPr="00B571D1" w:rsidRDefault="001B4B60" w:rsidP="001B4B6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>Bioavailability</w:t>
      </w:r>
    </w:p>
    <w:p w:rsidR="001B4B60" w:rsidRPr="00B571D1" w:rsidRDefault="001B4B60" w:rsidP="005202AC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Measurement of the relative amount &amp; rate at which, the drug from administered dosage form, reaches the systemic circulation &amp; becomes available at the site of </w:t>
      </w:r>
      <w:r w:rsidRPr="00B571D1">
        <w:rPr>
          <w:rFonts w:ascii="Times New Roman" w:hAnsi="Times New Roman" w:cs="Times New Roman"/>
          <w:bCs/>
          <w:sz w:val="24"/>
          <w:szCs w:val="24"/>
        </w:rPr>
        <w:t>action.</w:t>
      </w:r>
    </w:p>
    <w:p w:rsidR="001B4B60" w:rsidRPr="00B571D1" w:rsidRDefault="001B4B60" w:rsidP="005202AC">
      <w:pPr>
        <w:ind w:left="720"/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t xml:space="preserve"> Bioavailable fraction </w:t>
      </w:r>
      <w:r w:rsidRPr="00B571D1">
        <w:rPr>
          <w:rFonts w:ascii="Times New Roman" w:hAnsi="Times New Roman" w:cs="Times New Roman"/>
          <w:sz w:val="24"/>
          <w:szCs w:val="24"/>
        </w:rPr>
        <w:t>(F), refers to the fraction of administered dose that enters the systemic circulation</w:t>
      </w:r>
    </w:p>
    <w:p w:rsidR="001B4B60" w:rsidRPr="00B571D1" w:rsidRDefault="001B4B60" w:rsidP="001B4B60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39EC" w:rsidRPr="00B571D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B4B60" w:rsidRPr="00B571D1" w:rsidRDefault="007C2AA1" w:rsidP="001B4B60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B4B60" w:rsidRPr="00B571D1">
        <w:rPr>
          <w:rFonts w:ascii="Times New Roman" w:hAnsi="Times New Roman" w:cs="Times New Roman"/>
          <w:sz w:val="24"/>
          <w:szCs w:val="24"/>
        </w:rPr>
        <w:t xml:space="preserve">F   =     </w:t>
      </w:r>
      <w:r w:rsidR="001B4B60" w:rsidRPr="00B571D1">
        <w:rPr>
          <w:rFonts w:ascii="Times New Roman" w:hAnsi="Times New Roman" w:cs="Times New Roman"/>
          <w:sz w:val="24"/>
          <w:szCs w:val="24"/>
          <w:u w:val="single"/>
        </w:rPr>
        <w:t xml:space="preserve">Bioavailable dose  </w:t>
      </w:r>
    </w:p>
    <w:p w:rsidR="001B4B60" w:rsidRPr="00B571D1" w:rsidRDefault="001B4B60" w:rsidP="001B4B60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2AA1" w:rsidRPr="00B571D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571D1">
        <w:rPr>
          <w:rFonts w:ascii="Times New Roman" w:hAnsi="Times New Roman" w:cs="Times New Roman"/>
          <w:sz w:val="24"/>
          <w:szCs w:val="24"/>
        </w:rPr>
        <w:t xml:space="preserve"> Administered dose</w:t>
      </w:r>
    </w:p>
    <w:p w:rsidR="00FF2AFD" w:rsidRDefault="00F8104F" w:rsidP="00932F1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FF2AFD" w:rsidRDefault="00FF2AFD" w:rsidP="00932F1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110FA" w:rsidRPr="00B571D1" w:rsidRDefault="00F8104F" w:rsidP="00932F1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="007C31E8"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>Absolute Bioavailability</w:t>
      </w:r>
    </w:p>
    <w:p w:rsidR="004110FA" w:rsidRPr="00B571D1" w:rsidRDefault="007C31E8" w:rsidP="007C31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Compares the bioavailability of the active drug in systemic circulation following non-intravenous administration with the same drug following intravenous administration</w:t>
      </w:r>
    </w:p>
    <w:p w:rsidR="004110FA" w:rsidRPr="00B571D1" w:rsidRDefault="007C31E8" w:rsidP="007C31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For drugs </w:t>
      </w:r>
      <w:r w:rsidR="00523763" w:rsidRPr="00B571D1">
        <w:rPr>
          <w:rFonts w:ascii="Times New Roman" w:hAnsi="Times New Roman" w:cs="Times New Roman"/>
          <w:sz w:val="24"/>
          <w:szCs w:val="24"/>
        </w:rPr>
        <w:t>administered intravenously</w:t>
      </w:r>
      <w:r w:rsidR="00932F10" w:rsidRPr="00B571D1">
        <w:rPr>
          <w:rFonts w:ascii="Times New Roman" w:hAnsi="Times New Roman" w:cs="Times New Roman"/>
          <w:sz w:val="24"/>
          <w:szCs w:val="24"/>
        </w:rPr>
        <w:t>, bioavailability</w:t>
      </w:r>
      <w:r w:rsidRPr="00B571D1">
        <w:rPr>
          <w:rFonts w:ascii="Times New Roman" w:hAnsi="Times New Roman" w:cs="Times New Roman"/>
          <w:sz w:val="24"/>
          <w:szCs w:val="24"/>
        </w:rPr>
        <w:t xml:space="preserve"> is 100%</w:t>
      </w:r>
    </w:p>
    <w:p w:rsidR="004110FA" w:rsidRPr="00B571D1" w:rsidRDefault="007C31E8" w:rsidP="007C31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Determination of the best administration route</w:t>
      </w:r>
    </w:p>
    <w:p w:rsidR="00932F10" w:rsidRPr="00B571D1" w:rsidRDefault="00932F10" w:rsidP="00932F10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F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ab</w:t>
      </w:r>
      <w:r w:rsidRPr="00B571D1">
        <w:rPr>
          <w:rFonts w:ascii="Times New Roman" w:hAnsi="Times New Roman" w:cs="Times New Roman"/>
          <w:sz w:val="24"/>
          <w:szCs w:val="24"/>
        </w:rPr>
        <w:t xml:space="preserve"> = </w:t>
      </w:r>
      <w:r w:rsidR="00411528" w:rsidRPr="00B571D1">
        <w:rPr>
          <w:rFonts w:ascii="Times New Roman" w:hAnsi="Times New Roman" w:cs="Times New Roman"/>
          <w:sz w:val="24"/>
          <w:szCs w:val="24"/>
        </w:rPr>
        <w:t xml:space="preserve">  (</w:t>
      </w:r>
      <w:r w:rsidRPr="00B571D1">
        <w:rPr>
          <w:rFonts w:ascii="Times New Roman" w:hAnsi="Times New Roman" w:cs="Times New Roman"/>
          <w:sz w:val="24"/>
          <w:szCs w:val="24"/>
          <w:u w:val="single"/>
        </w:rPr>
        <w:t>AUC)</w:t>
      </w:r>
      <w:r w:rsidRPr="00B571D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drug</w:t>
      </w:r>
    </w:p>
    <w:p w:rsidR="00932F10" w:rsidRPr="00B571D1" w:rsidRDefault="00932F10" w:rsidP="00932F10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411528" w:rsidRPr="00B571D1">
        <w:rPr>
          <w:rFonts w:ascii="Times New Roman" w:hAnsi="Times New Roman" w:cs="Times New Roman"/>
          <w:sz w:val="24"/>
          <w:szCs w:val="24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>(AUC)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IV</w:t>
      </w:r>
    </w:p>
    <w:p w:rsidR="004110FA" w:rsidRPr="00B571D1" w:rsidRDefault="007C31E8" w:rsidP="00523763">
      <w:pPr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>Relative Bioavailability</w:t>
      </w:r>
    </w:p>
    <w:p w:rsidR="004110FA" w:rsidRPr="00B571D1" w:rsidRDefault="007C31E8" w:rsidP="00523763">
      <w:pPr>
        <w:ind w:left="720"/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Compares the bioavailability of a formulation </w:t>
      </w:r>
      <w:r w:rsidRPr="00B571D1">
        <w:rPr>
          <w:rFonts w:ascii="Times New Roman" w:hAnsi="Times New Roman" w:cs="Times New Roman"/>
          <w:i/>
          <w:iCs/>
          <w:sz w:val="24"/>
          <w:szCs w:val="24"/>
        </w:rPr>
        <w:t>(A)</w:t>
      </w:r>
      <w:r w:rsidRPr="00B571D1">
        <w:rPr>
          <w:rFonts w:ascii="Times New Roman" w:hAnsi="Times New Roman" w:cs="Times New Roman"/>
          <w:sz w:val="24"/>
          <w:szCs w:val="24"/>
        </w:rPr>
        <w:t xml:space="preserve"> of a certain drug when compared with another </w:t>
      </w:r>
      <w:r w:rsidRPr="00B571D1">
        <w:rPr>
          <w:rFonts w:ascii="Times New Roman" w:hAnsi="Times New Roman" w:cs="Times New Roman"/>
          <w:iCs/>
          <w:sz w:val="24"/>
          <w:szCs w:val="24"/>
        </w:rPr>
        <w:t>formulation (B)</w:t>
      </w:r>
      <w:r w:rsidRPr="00B571D1">
        <w:rPr>
          <w:rFonts w:ascii="Times New Roman" w:hAnsi="Times New Roman" w:cs="Times New Roman"/>
          <w:sz w:val="24"/>
          <w:szCs w:val="24"/>
        </w:rPr>
        <w:t xml:space="preserve"> of the same drug, usually an established standard</w:t>
      </w:r>
    </w:p>
    <w:p w:rsidR="00523763" w:rsidRPr="00B571D1" w:rsidRDefault="00523763" w:rsidP="00523763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                        F 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rel</w:t>
      </w:r>
      <w:r w:rsidRPr="00B571D1">
        <w:rPr>
          <w:rFonts w:ascii="Times New Roman" w:hAnsi="Times New Roman" w:cs="Times New Roman"/>
          <w:sz w:val="24"/>
          <w:szCs w:val="24"/>
        </w:rPr>
        <w:t xml:space="preserve"> =    </w:t>
      </w:r>
      <w:r w:rsidRPr="00B571D1">
        <w:rPr>
          <w:rFonts w:ascii="Times New Roman" w:hAnsi="Times New Roman" w:cs="Times New Roman"/>
          <w:sz w:val="24"/>
          <w:szCs w:val="24"/>
          <w:u w:val="single"/>
        </w:rPr>
        <w:t xml:space="preserve">( AUC) </w:t>
      </w:r>
      <w:r w:rsidRPr="00B571D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drug</w:t>
      </w:r>
    </w:p>
    <w:p w:rsidR="00523763" w:rsidRPr="00B571D1" w:rsidRDefault="00523763" w:rsidP="00523763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(AUC) 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standard</w:t>
      </w:r>
    </w:p>
    <w:p w:rsidR="00523763" w:rsidRPr="00B571D1" w:rsidRDefault="00523763" w:rsidP="00523763">
      <w:pPr>
        <w:rPr>
          <w:rFonts w:ascii="Times New Roman" w:hAnsi="Times New Roman" w:cs="Times New Roman"/>
          <w:b/>
          <w:sz w:val="24"/>
          <w:szCs w:val="24"/>
          <w:u w:val="single"/>
          <w:vertAlign w:val="subscript"/>
        </w:rPr>
      </w:pPr>
      <w:r w:rsidRPr="00B571D1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       </w:t>
      </w:r>
      <w:r w:rsidRPr="00B571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>Bioequ</w:t>
      </w:r>
      <w:r w:rsidR="00B21C7F" w:rsidRPr="00B571D1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B335A" w:rsidRPr="00B571D1">
        <w:rPr>
          <w:rFonts w:ascii="Times New Roman" w:hAnsi="Times New Roman" w:cs="Times New Roman"/>
          <w:b/>
          <w:sz w:val="24"/>
          <w:szCs w:val="24"/>
          <w:u w:val="single"/>
        </w:rPr>
        <w:t>v</w:t>
      </w:r>
      <w:r w:rsidR="00B21C7F" w:rsidRPr="00B571D1">
        <w:rPr>
          <w:rFonts w:ascii="Times New Roman" w:hAnsi="Times New Roman" w:cs="Times New Roman"/>
          <w:b/>
          <w:sz w:val="24"/>
          <w:szCs w:val="24"/>
          <w:u w:val="single"/>
        </w:rPr>
        <w:t>ale</w:t>
      </w:r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>nce</w:t>
      </w:r>
      <w:r w:rsidRPr="00B571D1">
        <w:rPr>
          <w:rFonts w:ascii="Times New Roman" w:hAnsi="Times New Roman" w:cs="Times New Roman"/>
          <w:b/>
          <w:sz w:val="24"/>
          <w:szCs w:val="24"/>
          <w:u w:val="single"/>
          <w:vertAlign w:val="subscript"/>
        </w:rPr>
        <w:t xml:space="preserve"> </w:t>
      </w:r>
    </w:p>
    <w:p w:rsidR="004110FA" w:rsidRPr="00B571D1" w:rsidRDefault="007C31E8" w:rsidP="007C31E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A comparison of the bioavailability of two or more drug products</w:t>
      </w:r>
    </w:p>
    <w:p w:rsidR="004110FA" w:rsidRPr="00B571D1" w:rsidRDefault="007C31E8" w:rsidP="007C31E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Two products or formulations containing the same active ingredient are bioequivalent if the</w:t>
      </w:r>
      <w:r w:rsidR="003B335A" w:rsidRPr="00B571D1">
        <w:rPr>
          <w:rFonts w:ascii="Times New Roman" w:hAnsi="Times New Roman" w:cs="Times New Roman"/>
          <w:sz w:val="24"/>
          <w:szCs w:val="24"/>
        </w:rPr>
        <w:t>ai</w:t>
      </w:r>
      <w:r w:rsidRPr="00B571D1">
        <w:rPr>
          <w:rFonts w:ascii="Times New Roman" w:hAnsi="Times New Roman" w:cs="Times New Roman"/>
          <w:sz w:val="24"/>
          <w:szCs w:val="24"/>
        </w:rPr>
        <w:t xml:space="preserve"> rates and extents of absorption are the same</w:t>
      </w:r>
    </w:p>
    <w:p w:rsidR="004110FA" w:rsidRPr="00B571D1" w:rsidRDefault="007C31E8" w:rsidP="007C31E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Bioequivalence may be demonstrated through in vivo or in vitro test methods, comparative clinical trials, or pharmacodynamics studies</w:t>
      </w:r>
    </w:p>
    <w:p w:rsidR="00523763" w:rsidRPr="00B571D1" w:rsidRDefault="00523763" w:rsidP="005237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571D1">
        <w:rPr>
          <w:rFonts w:ascii="Times New Roman" w:hAnsi="Times New Roman" w:cs="Times New Roman"/>
          <w:b/>
          <w:bCs/>
          <w:sz w:val="24"/>
          <w:szCs w:val="24"/>
        </w:rPr>
        <w:t>Concept of Equivalents</w:t>
      </w:r>
    </w:p>
    <w:p w:rsidR="004110FA" w:rsidRPr="00B571D1" w:rsidRDefault="007C31E8" w:rsidP="007C31E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t>Pharmaceutical equivalents</w:t>
      </w:r>
    </w:p>
    <w:p w:rsidR="004110FA" w:rsidRPr="00B571D1" w:rsidRDefault="007C31E8" w:rsidP="007C31E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equal amounts of the iden</w:t>
      </w:r>
      <w:r w:rsidR="00CF6990" w:rsidRPr="00B571D1">
        <w:rPr>
          <w:rFonts w:ascii="Times New Roman" w:hAnsi="Times New Roman" w:cs="Times New Roman"/>
          <w:sz w:val="24"/>
          <w:szCs w:val="24"/>
        </w:rPr>
        <w:t xml:space="preserve">tical active drug </w:t>
      </w:r>
      <w:r w:rsidR="005202AC" w:rsidRPr="00B571D1">
        <w:rPr>
          <w:rFonts w:ascii="Times New Roman" w:hAnsi="Times New Roman" w:cs="Times New Roman"/>
          <w:sz w:val="24"/>
          <w:szCs w:val="24"/>
        </w:rPr>
        <w:t>ingredient (</w:t>
      </w:r>
      <w:r w:rsidRPr="00B571D1">
        <w:rPr>
          <w:rFonts w:ascii="Times New Roman" w:hAnsi="Times New Roman" w:cs="Times New Roman"/>
          <w:sz w:val="24"/>
          <w:szCs w:val="24"/>
        </w:rPr>
        <w:t xml:space="preserve">i.e. the same salt) </w:t>
      </w:r>
    </w:p>
    <w:p w:rsidR="004110FA" w:rsidRPr="00B571D1" w:rsidRDefault="007C31E8" w:rsidP="007C31E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identical dosage forms</w:t>
      </w:r>
    </w:p>
    <w:p w:rsidR="004110FA" w:rsidRPr="00B571D1" w:rsidRDefault="007C31E8" w:rsidP="007C31E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not necessarily containing the same inactive ingredients</w:t>
      </w:r>
    </w:p>
    <w:p w:rsidR="004110FA" w:rsidRPr="00B571D1" w:rsidRDefault="007C31E8" w:rsidP="007C31E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t>Pharmaceutical alternatives</w:t>
      </w:r>
      <w:r w:rsidRPr="00B57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0FA" w:rsidRPr="00B571D1" w:rsidRDefault="007C31E8" w:rsidP="007C31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identical therapeutic moiety, or its precursor</w:t>
      </w:r>
    </w:p>
    <w:p w:rsidR="004110FA" w:rsidRPr="00B571D1" w:rsidRDefault="007C31E8" w:rsidP="007C31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not necessarily the same:</w:t>
      </w:r>
    </w:p>
    <w:p w:rsidR="00523763" w:rsidRPr="00B571D1" w:rsidRDefault="00523763" w:rsidP="007C31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salt or ester </w:t>
      </w:r>
    </w:p>
    <w:p w:rsidR="00523763" w:rsidRPr="00B571D1" w:rsidRDefault="00523763" w:rsidP="007C31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amount</w:t>
      </w:r>
    </w:p>
    <w:p w:rsidR="00523763" w:rsidRPr="00B571D1" w:rsidRDefault="00523763" w:rsidP="007C31E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dosage form</w:t>
      </w:r>
    </w:p>
    <w:p w:rsidR="00D23BAA" w:rsidRPr="00B571D1" w:rsidRDefault="00D23BAA" w:rsidP="00D23BA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110FA" w:rsidRPr="00B571D1" w:rsidRDefault="007C31E8" w:rsidP="007C31E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t>Therapeutic equivalence</w:t>
      </w:r>
    </w:p>
    <w:p w:rsidR="004110FA" w:rsidRPr="00B571D1" w:rsidRDefault="007C31E8" w:rsidP="007C31E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Same active substance or therapeutic moiety </w:t>
      </w:r>
    </w:p>
    <w:p w:rsidR="004110FA" w:rsidRPr="00B571D1" w:rsidRDefault="007C31E8" w:rsidP="007C31E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Clinically show the </w:t>
      </w:r>
      <w:r w:rsidR="00D23BAA" w:rsidRPr="00B571D1">
        <w:rPr>
          <w:rFonts w:ascii="Times New Roman" w:hAnsi="Times New Roman" w:cs="Times New Roman"/>
          <w:sz w:val="24"/>
          <w:szCs w:val="24"/>
        </w:rPr>
        <w:t xml:space="preserve">same efficacy &amp; safety </w:t>
      </w:r>
      <w:r w:rsidRPr="00B571D1">
        <w:rPr>
          <w:rFonts w:ascii="Times New Roman" w:hAnsi="Times New Roman" w:cs="Times New Roman"/>
          <w:sz w:val="24"/>
          <w:szCs w:val="24"/>
        </w:rPr>
        <w:t>profile</w:t>
      </w:r>
    </w:p>
    <w:p w:rsidR="00D23BAA" w:rsidRPr="00B571D1" w:rsidRDefault="00D23BAA" w:rsidP="00D23BA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Objectives of BA &amp; BE Studies</w:t>
      </w:r>
    </w:p>
    <w:p w:rsidR="004110FA" w:rsidRPr="00B571D1" w:rsidRDefault="00D23BAA" w:rsidP="007C31E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31E8" w:rsidRPr="00B571D1">
        <w:rPr>
          <w:rFonts w:ascii="Times New Roman" w:hAnsi="Times New Roman" w:cs="Times New Roman"/>
          <w:bCs/>
          <w:sz w:val="24"/>
          <w:szCs w:val="24"/>
        </w:rPr>
        <w:t xml:space="preserve"> Development of suitable dosage form for a New Drug Entity</w:t>
      </w:r>
    </w:p>
    <w:p w:rsidR="004110FA" w:rsidRPr="00B571D1" w:rsidRDefault="007C31E8" w:rsidP="007C31E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Determination of influence of excipients, patient related factors </w:t>
      </w:r>
      <w:r w:rsidR="0076185B" w:rsidRPr="00B571D1">
        <w:rPr>
          <w:rFonts w:ascii="Times New Roman" w:hAnsi="Times New Roman" w:cs="Times New Roman"/>
          <w:bCs/>
          <w:sz w:val="24"/>
          <w:szCs w:val="24"/>
        </w:rPr>
        <w:t>&amp; possible</w:t>
      </w: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interactions with other drugs</w:t>
      </w:r>
    </w:p>
    <w:p w:rsidR="004110FA" w:rsidRPr="00B571D1" w:rsidRDefault="007C31E8" w:rsidP="007C31E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Development of new drug formulations of existing drugs</w:t>
      </w:r>
    </w:p>
    <w:p w:rsidR="004110FA" w:rsidRPr="00B571D1" w:rsidRDefault="007C31E8" w:rsidP="007C31E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Control of quality of drug products, influence of → processing factors, storage &amp; stability </w:t>
      </w:r>
    </w:p>
    <w:p w:rsidR="004110FA" w:rsidRPr="00B571D1" w:rsidRDefault="007C31E8" w:rsidP="007C31E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Comparison of availability of a drug substance from different </w:t>
      </w:r>
      <w:r w:rsidR="0076185B" w:rsidRPr="00B571D1">
        <w:rPr>
          <w:rFonts w:ascii="Times New Roman" w:hAnsi="Times New Roman" w:cs="Times New Roman"/>
          <w:bCs/>
          <w:sz w:val="24"/>
          <w:szCs w:val="24"/>
        </w:rPr>
        <w:t>form or</w:t>
      </w: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same dosage form produced by different manufacturers</w:t>
      </w:r>
    </w:p>
    <w:p w:rsidR="0076185B" w:rsidRPr="00B571D1" w:rsidRDefault="007C31E8" w:rsidP="007C31E8">
      <w:pPr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>NDA and ANDA application</w:t>
      </w:r>
    </w:p>
    <w:p w:rsidR="0076185B" w:rsidRPr="00B571D1" w:rsidRDefault="0076185B" w:rsidP="0076185B">
      <w:pPr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6185B" w:rsidRPr="00B571D1" w:rsidRDefault="0076185B" w:rsidP="0076185B">
      <w:pPr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NDA vs. </w:t>
      </w:r>
      <w:r w:rsidR="007578F7"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>ANDA Review</w:t>
      </w:r>
      <w:r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Process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6185B" w:rsidRPr="00B571D1" w:rsidTr="0076185B">
        <w:tc>
          <w:tcPr>
            <w:tcW w:w="4675" w:type="dxa"/>
          </w:tcPr>
          <w:p w:rsidR="0076185B" w:rsidRPr="00B571D1" w:rsidRDefault="0076185B" w:rsidP="0076185B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Original Drug</w:t>
            </w:r>
          </w:p>
          <w:p w:rsidR="0076185B" w:rsidRPr="00B571D1" w:rsidRDefault="0076185B" w:rsidP="0076185B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NDA Requirements                                           </w:t>
            </w:r>
          </w:p>
          <w:p w:rsidR="0076185B" w:rsidRPr="00B571D1" w:rsidRDefault="0076185B" w:rsidP="007C31E8">
            <w:pPr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Chemistry</w:t>
            </w:r>
          </w:p>
          <w:p w:rsidR="0076185B" w:rsidRPr="00B571D1" w:rsidRDefault="0076185B" w:rsidP="007C31E8">
            <w:pPr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Manufacturing</w:t>
            </w:r>
          </w:p>
          <w:p w:rsidR="0076185B" w:rsidRPr="00B571D1" w:rsidRDefault="0076185B" w:rsidP="007C31E8">
            <w:pPr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Controls</w:t>
            </w:r>
          </w:p>
          <w:p w:rsidR="0076185B" w:rsidRPr="00B571D1" w:rsidRDefault="0076185B" w:rsidP="007C31E8">
            <w:pPr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Labeling</w:t>
            </w:r>
          </w:p>
          <w:p w:rsidR="0076185B" w:rsidRPr="00B571D1" w:rsidRDefault="0076185B" w:rsidP="007C31E8">
            <w:pPr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Testing</w:t>
            </w:r>
          </w:p>
          <w:p w:rsidR="0076185B" w:rsidRPr="00B571D1" w:rsidRDefault="0076185B" w:rsidP="007C31E8">
            <w:pPr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Animal Studies</w:t>
            </w:r>
          </w:p>
          <w:p w:rsidR="0076185B" w:rsidRPr="00B571D1" w:rsidRDefault="0076185B" w:rsidP="007C31E8">
            <w:pPr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Clinical Studies</w:t>
            </w:r>
          </w:p>
          <w:p w:rsidR="0076185B" w:rsidRPr="00B571D1" w:rsidRDefault="0076185B" w:rsidP="007C31E8">
            <w:pPr>
              <w:numPr>
                <w:ilvl w:val="0"/>
                <w:numId w:val="13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(Bioavailability/Bioequivalence)</w:t>
            </w:r>
          </w:p>
          <w:p w:rsidR="0076185B" w:rsidRPr="00B571D1" w:rsidRDefault="0076185B" w:rsidP="00761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76185B" w:rsidRPr="00B571D1" w:rsidRDefault="0076185B" w:rsidP="0076185B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Generic Drug</w:t>
            </w:r>
          </w:p>
          <w:p w:rsidR="0076185B" w:rsidRPr="00B571D1" w:rsidRDefault="0076185B" w:rsidP="0076185B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ANDA Requirements</w:t>
            </w:r>
          </w:p>
          <w:p w:rsidR="0076185B" w:rsidRPr="00B571D1" w:rsidRDefault="0076185B" w:rsidP="007C31E8">
            <w:pPr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Chemistry</w:t>
            </w:r>
          </w:p>
          <w:p w:rsidR="0076185B" w:rsidRPr="00B571D1" w:rsidRDefault="0076185B" w:rsidP="007C31E8">
            <w:pPr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Manufacturing</w:t>
            </w:r>
          </w:p>
          <w:p w:rsidR="0076185B" w:rsidRPr="00B571D1" w:rsidRDefault="0076185B" w:rsidP="007C31E8">
            <w:pPr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Controls</w:t>
            </w:r>
          </w:p>
          <w:p w:rsidR="0076185B" w:rsidRPr="00B571D1" w:rsidRDefault="0076185B" w:rsidP="007C31E8">
            <w:pPr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Labeling</w:t>
            </w:r>
          </w:p>
          <w:p w:rsidR="0076185B" w:rsidRPr="00B571D1" w:rsidRDefault="0076185B" w:rsidP="007C31E8">
            <w:pPr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>Testing</w:t>
            </w:r>
          </w:p>
          <w:p w:rsidR="0076185B" w:rsidRPr="00B571D1" w:rsidRDefault="0076185B" w:rsidP="007C31E8">
            <w:pPr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1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Bioequivalence Study (In Vivo, In vitro) </w:t>
            </w:r>
          </w:p>
          <w:p w:rsidR="0076185B" w:rsidRPr="00B571D1" w:rsidRDefault="0076185B" w:rsidP="00761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B60" w:rsidRPr="00B571D1" w:rsidRDefault="001B4B60" w:rsidP="0076185B">
      <w:pPr>
        <w:rPr>
          <w:rFonts w:ascii="Times New Roman" w:hAnsi="Times New Roman" w:cs="Times New Roman"/>
          <w:sz w:val="24"/>
          <w:szCs w:val="24"/>
        </w:rPr>
      </w:pPr>
    </w:p>
    <w:p w:rsidR="00FA62A6" w:rsidRPr="00B571D1" w:rsidRDefault="00FA62A6" w:rsidP="0076185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>FDA Methods to Determine Bioequivalence</w:t>
      </w:r>
    </w:p>
    <w:p w:rsidR="004110FA" w:rsidRPr="00B571D1" w:rsidRDefault="007C31E8" w:rsidP="007C31E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Generic drug manufacturers must demonstrate that a drug is bioequivalent to a reference drug product</w:t>
      </w:r>
    </w:p>
    <w:p w:rsidR="004110FA" w:rsidRPr="00B571D1" w:rsidRDefault="007C31E8" w:rsidP="007C31E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In order of FDA preference, methods used to define bioequivalence</w:t>
      </w:r>
    </w:p>
    <w:p w:rsidR="004110FA" w:rsidRPr="00B571D1" w:rsidRDefault="007C31E8" w:rsidP="007C31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Pharmacokinetic studies</w:t>
      </w:r>
    </w:p>
    <w:p w:rsidR="004110FA" w:rsidRPr="00B571D1" w:rsidRDefault="007C31E8" w:rsidP="007C31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Pharmacodynamics studies</w:t>
      </w:r>
    </w:p>
    <w:p w:rsidR="004110FA" w:rsidRPr="00B571D1" w:rsidRDefault="007C31E8" w:rsidP="007C31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lastRenderedPageBreak/>
        <w:t>Comparative clinical trials</w:t>
      </w:r>
    </w:p>
    <w:p w:rsidR="004110FA" w:rsidRPr="00B571D1" w:rsidRDefault="007C31E8" w:rsidP="007C31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In vitro studies</w:t>
      </w:r>
    </w:p>
    <w:p w:rsidR="004110FA" w:rsidRPr="00B571D1" w:rsidRDefault="007C31E8" w:rsidP="007C31E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In vivo Studies.</w:t>
      </w:r>
    </w:p>
    <w:p w:rsidR="00EF6B5A" w:rsidRPr="00B571D1" w:rsidRDefault="00EF6B5A" w:rsidP="00EF6B5A">
      <w:pPr>
        <w:rPr>
          <w:rFonts w:ascii="Times New Roman" w:hAnsi="Times New Roman" w:cs="Times New Roman"/>
          <w:b/>
          <w:sz w:val="24"/>
          <w:szCs w:val="24"/>
        </w:rPr>
      </w:pPr>
    </w:p>
    <w:p w:rsidR="00EF6B5A" w:rsidRPr="00B571D1" w:rsidRDefault="00EF6B5A" w:rsidP="00EF6B5A">
      <w:pPr>
        <w:rPr>
          <w:rFonts w:ascii="Times New Roman" w:hAnsi="Times New Roman" w:cs="Times New Roman"/>
          <w:b/>
          <w:sz w:val="24"/>
          <w:szCs w:val="24"/>
        </w:rPr>
      </w:pPr>
    </w:p>
    <w:p w:rsidR="00EF6B5A" w:rsidRPr="00B571D1" w:rsidRDefault="00EF6B5A" w:rsidP="00EF6B5A">
      <w:pPr>
        <w:rPr>
          <w:rFonts w:ascii="Times New Roman" w:hAnsi="Times New Roman" w:cs="Times New Roman"/>
          <w:b/>
          <w:sz w:val="24"/>
          <w:szCs w:val="24"/>
        </w:rPr>
      </w:pPr>
    </w:p>
    <w:p w:rsidR="00EF6B5A" w:rsidRPr="00B571D1" w:rsidRDefault="00EF6B5A" w:rsidP="00EF6B5A">
      <w:pPr>
        <w:rPr>
          <w:rFonts w:ascii="Times New Roman" w:hAnsi="Times New Roman" w:cs="Times New Roman"/>
          <w:b/>
          <w:sz w:val="24"/>
          <w:szCs w:val="24"/>
        </w:rPr>
      </w:pPr>
    </w:p>
    <w:p w:rsidR="00EF6B5A" w:rsidRPr="00B571D1" w:rsidRDefault="00EF6B5A" w:rsidP="00EF6B5A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>In vivo bioequivalence</w:t>
      </w:r>
    </w:p>
    <w:p w:rsidR="004110FA" w:rsidRPr="00B571D1" w:rsidRDefault="007C31E8" w:rsidP="00FA3D2A">
      <w:pPr>
        <w:ind w:left="720"/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In vivo bioequivalence studies are conducted in </w:t>
      </w:r>
      <w:r w:rsidR="00EF6B5A" w:rsidRPr="00B571D1">
        <w:rPr>
          <w:rFonts w:ascii="Times New Roman" w:hAnsi="Times New Roman" w:cs="Times New Roman"/>
          <w:sz w:val="24"/>
          <w:szCs w:val="24"/>
        </w:rPr>
        <w:t>the usual</w:t>
      </w:r>
      <w:r w:rsidRPr="00B571D1">
        <w:rPr>
          <w:rFonts w:ascii="Times New Roman" w:hAnsi="Times New Roman" w:cs="Times New Roman"/>
          <w:sz w:val="24"/>
          <w:szCs w:val="24"/>
        </w:rPr>
        <w:t xml:space="preserve"> manner as discussed for bioavailability     studies, i.e. the pharmacokinetic and the pharmacodynamics methods. </w:t>
      </w:r>
    </w:p>
    <w:p w:rsidR="00EF6B5A" w:rsidRPr="00B571D1" w:rsidRDefault="00EF6B5A" w:rsidP="00EF6B5A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</w:t>
      </w: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71D1">
        <w:rPr>
          <w:rFonts w:ascii="Times New Roman" w:hAnsi="Times New Roman" w:cs="Times New Roman"/>
          <w:b/>
          <w:bCs/>
          <w:sz w:val="24"/>
          <w:szCs w:val="24"/>
        </w:rPr>
        <w:t xml:space="preserve">1. Pharmacokinetic Methods </w:t>
      </w:r>
    </w:p>
    <w:p w:rsidR="00EF6B5A" w:rsidRPr="00B571D1" w:rsidRDefault="00EF6B5A" w:rsidP="00EF6B5A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a) Plasma level-time studies</w:t>
      </w:r>
    </w:p>
    <w:p w:rsidR="00EF6B5A" w:rsidRPr="00B571D1" w:rsidRDefault="00EF6B5A" w:rsidP="00EF6B5A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b) Urinary Excretion studies</w:t>
      </w:r>
    </w:p>
    <w:p w:rsidR="00EF6B5A" w:rsidRPr="00B571D1" w:rsidRDefault="00E501D0" w:rsidP="00EF6B5A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6B5A" w:rsidRPr="00B571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6B5A" w:rsidRPr="00B571D1">
        <w:rPr>
          <w:rFonts w:ascii="Times New Roman" w:hAnsi="Times New Roman" w:cs="Times New Roman"/>
          <w:b/>
          <w:bCs/>
          <w:sz w:val="24"/>
          <w:szCs w:val="24"/>
        </w:rPr>
        <w:t>2. Pharmacodynamics Methods</w:t>
      </w:r>
    </w:p>
    <w:p w:rsidR="00EF6B5A" w:rsidRPr="00B571D1" w:rsidRDefault="00EF6B5A" w:rsidP="00EF6B5A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a) Acute pharmacological response</w:t>
      </w:r>
    </w:p>
    <w:p w:rsidR="00EF6B5A" w:rsidRPr="00B571D1" w:rsidRDefault="00EF6B5A" w:rsidP="00EF6B5A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          b) Therapeutic response </w:t>
      </w:r>
    </w:p>
    <w:p w:rsidR="0075169E" w:rsidRPr="00B571D1" w:rsidRDefault="0075169E" w:rsidP="0075169E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>In vitro studies</w:t>
      </w:r>
    </w:p>
    <w:p w:rsidR="004110FA" w:rsidRPr="00B571D1" w:rsidRDefault="007C31E8" w:rsidP="007C31E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Confirm that the drug is not systemically absorbed. </w:t>
      </w:r>
    </w:p>
    <w:p w:rsidR="0075169E" w:rsidRPr="00B571D1" w:rsidRDefault="0075169E" w:rsidP="0075169E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•   Describe the physico-chemical characteristics of the drug and the drug in the dosage form (this includes in vitro drug release characteristics). </w:t>
      </w:r>
    </w:p>
    <w:p w:rsidR="0075169E" w:rsidRPr="00B571D1" w:rsidRDefault="0075169E" w:rsidP="007C31E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Compare the proposed product formulation to the reference formulation.</w:t>
      </w:r>
    </w:p>
    <w:p w:rsidR="0075169E" w:rsidRPr="00B571D1" w:rsidRDefault="0075169E" w:rsidP="0075169E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>Potential Situations where an In Vitro BE Determination May be of Use</w:t>
      </w:r>
    </w:p>
    <w:p w:rsidR="004110FA" w:rsidRPr="00B571D1" w:rsidRDefault="007C31E8" w:rsidP="007C31E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Generic drug applications. </w:t>
      </w:r>
    </w:p>
    <w:p w:rsidR="004110FA" w:rsidRPr="00B571D1" w:rsidRDefault="007C31E8" w:rsidP="007C31E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When the innovator wishes modify an existing formulation. </w:t>
      </w:r>
    </w:p>
    <w:p w:rsidR="004110FA" w:rsidRPr="00B571D1" w:rsidRDefault="007C31E8" w:rsidP="007C31E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When BE needs to be determined for a combination drug product where one component is systemically absorbed (i.e., necessitating an in vivo blood level BE assessment) and the other is a locally acting compound.</w:t>
      </w:r>
    </w:p>
    <w:p w:rsidR="005858CD" w:rsidRPr="00B571D1" w:rsidRDefault="005858CD" w:rsidP="005858CD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>Pharmacokinetic Studies in vivo</w:t>
      </w:r>
    </w:p>
    <w:p w:rsidR="00F8104F" w:rsidRPr="00B571D1" w:rsidRDefault="00F8104F" w:rsidP="00F8104F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Cs/>
          <w:sz w:val="24"/>
          <w:szCs w:val="24"/>
        </w:rPr>
        <w:t xml:space="preserve">   Screening of Healthy volunteers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Recruitment through advertisements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lastRenderedPageBreak/>
        <w:t xml:space="preserve">Written consent 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Healthy subjects (male and female), 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18-55 years old,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Non-smokers/without a history of alcohol or drug abuse Medical history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Lab testing, HIV, Hepatitis A, B &amp; C; Blood &amp; Urine sample 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Height &amp; weight, Medical History, ECG &amp; vital signs 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Contraindication, Allergies should not be present 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No concomitant medications [including herbal remedies]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Standardized study environment, same for everyone 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Standardized amount of water [~240ml]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lang w:val="en-IN"/>
        </w:rPr>
        <w:t xml:space="preserve">Administration of the study medication is supervised by </w:t>
      </w:r>
      <w:r w:rsidR="00F8104F" w:rsidRPr="00B571D1">
        <w:rPr>
          <w:rFonts w:ascii="Times New Roman" w:hAnsi="Times New Roman" w:cs="Times New Roman"/>
          <w:sz w:val="24"/>
          <w:szCs w:val="24"/>
          <w:lang w:val="en-IN"/>
        </w:rPr>
        <w:t>the investigator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Same time of dosing (multiple dosing)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Sampling time with deviation of 2 mins allowed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Uniform &amp; identical meals at identical times in all periods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Restriction of xanthines, grapefruit, citrus fruits, smoking, alcohol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All activities recorded in CRFs with time &amp; date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Post-study examination for safety assessment</w:t>
      </w:r>
    </w:p>
    <w:p w:rsidR="004110FA" w:rsidRPr="00B571D1" w:rsidRDefault="007C31E8" w:rsidP="007C31E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Compensation to subjects as per agreed term</w:t>
      </w:r>
    </w:p>
    <w:p w:rsidR="00F8104F" w:rsidRPr="00B571D1" w:rsidRDefault="00F8104F" w:rsidP="00F8104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104F" w:rsidRPr="00B571D1" w:rsidRDefault="00F8104F" w:rsidP="00F8104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104F" w:rsidRPr="00B571D1" w:rsidRDefault="00F8104F" w:rsidP="00F8104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104F" w:rsidRPr="00B571D1" w:rsidRDefault="00F8104F" w:rsidP="00F8104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>Study Design</w:t>
      </w:r>
    </w:p>
    <w:p w:rsidR="004110FA" w:rsidRPr="00B571D1" w:rsidRDefault="007C31E8" w:rsidP="007C31E8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Single-dose, two-way crossover, fasted</w:t>
      </w:r>
    </w:p>
    <w:p w:rsidR="004110FA" w:rsidRPr="00B571D1" w:rsidRDefault="007C31E8" w:rsidP="007C31E8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Single-dose, two-way crossover, fed</w:t>
      </w:r>
    </w:p>
    <w:p w:rsidR="00F8104F" w:rsidRPr="00B571D1" w:rsidRDefault="00F8104F" w:rsidP="00F8104F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>Alternative</w:t>
      </w:r>
    </w:p>
    <w:p w:rsidR="004110FA" w:rsidRPr="00B571D1" w:rsidRDefault="007C31E8" w:rsidP="007C31E8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Single-dose, parallel, fasted </w:t>
      </w:r>
    </w:p>
    <w:p w:rsidR="004110FA" w:rsidRPr="00B571D1" w:rsidRDefault="007C31E8" w:rsidP="007C31E8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Multiple-dose, two-way crossover, fasted (Less Sensitive, non-linear kinetic</w:t>
      </w:r>
      <w:r w:rsidR="00F233BA" w:rsidRPr="00B571D1">
        <w:rPr>
          <w:rFonts w:ascii="Times New Roman" w:hAnsi="Times New Roman" w:cs="Times New Roman"/>
          <w:sz w:val="24"/>
          <w:szCs w:val="24"/>
        </w:rPr>
        <w:t>)</w:t>
      </w:r>
    </w:p>
    <w:p w:rsidR="00F233BA" w:rsidRPr="00B571D1" w:rsidRDefault="00F233BA" w:rsidP="00F233BA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>Parameters to be measured</w:t>
      </w:r>
    </w:p>
    <w:p w:rsidR="004110F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lang w:val="en-IN"/>
        </w:rPr>
        <w:lastRenderedPageBreak/>
        <w:t>C</w:t>
      </w:r>
      <w:r w:rsidRPr="00B571D1">
        <w:rPr>
          <w:rFonts w:ascii="Times New Roman" w:hAnsi="Times New Roman" w:cs="Times New Roman"/>
          <w:sz w:val="24"/>
          <w:szCs w:val="24"/>
          <w:vertAlign w:val="subscript"/>
          <w:lang w:val="en-IN"/>
        </w:rPr>
        <w:t>max</w:t>
      </w:r>
    </w:p>
    <w:p w:rsidR="004110F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lang w:val="en-IN"/>
        </w:rPr>
        <w:t xml:space="preserve"> T</w:t>
      </w:r>
      <w:r w:rsidRPr="00B571D1">
        <w:rPr>
          <w:rFonts w:ascii="Times New Roman" w:hAnsi="Times New Roman" w:cs="Times New Roman"/>
          <w:sz w:val="24"/>
          <w:szCs w:val="24"/>
          <w:vertAlign w:val="subscript"/>
          <w:lang w:val="en-IN"/>
        </w:rPr>
        <w:t>max</w:t>
      </w:r>
    </w:p>
    <w:p w:rsidR="004110F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AUC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0-t</w:t>
      </w:r>
    </w:p>
    <w:p w:rsidR="004110F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vertAlign w:val="subscript"/>
          <w:lang w:val="en-IN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>AUC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0-∞</w:t>
      </w:r>
    </w:p>
    <w:p w:rsidR="00F233BA" w:rsidRPr="00B571D1" w:rsidRDefault="00F233BA" w:rsidP="00F233BA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>For steady state studies:</w:t>
      </w:r>
    </w:p>
    <w:p w:rsidR="004110F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>AUC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0-t</w:t>
      </w:r>
    </w:p>
    <w:p w:rsidR="004110F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>C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max</w:t>
      </w:r>
    </w:p>
    <w:p w:rsidR="004110F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>C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min</w:t>
      </w:r>
    </w:p>
    <w:p w:rsidR="00F233BA" w:rsidRPr="00B571D1" w:rsidRDefault="007C31E8" w:rsidP="007C31E8">
      <w:pPr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>Degree of fluctuation</w:t>
      </w:r>
    </w:p>
    <w:p w:rsidR="00F233BA" w:rsidRPr="00B571D1" w:rsidRDefault="00F233BA" w:rsidP="00F233BA">
      <w:pPr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>Fasting &amp; Fed State Conditions</w:t>
      </w:r>
    </w:p>
    <w:p w:rsidR="004110FA" w:rsidRPr="00B571D1" w:rsidRDefault="007C31E8" w:rsidP="007578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t>Fasting Conditions:</w:t>
      </w:r>
    </w:p>
    <w:p w:rsidR="00F233BA" w:rsidRPr="00B571D1" w:rsidRDefault="007578F7" w:rsidP="007578F7">
      <w:pPr>
        <w:rPr>
          <w:rFonts w:ascii="Times New Roman" w:hAnsi="Times New Roman" w:cs="Times New Roman"/>
          <w:b/>
          <w:sz w:val="24"/>
          <w:szCs w:val="24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233BA" w:rsidRPr="00B571D1">
        <w:rPr>
          <w:rFonts w:ascii="Times New Roman" w:hAnsi="Times New Roman" w:cs="Times New Roman"/>
          <w:b/>
          <w:sz w:val="24"/>
          <w:szCs w:val="24"/>
        </w:rPr>
        <w:t xml:space="preserve">Single dose study: </w:t>
      </w:r>
    </w:p>
    <w:p w:rsidR="00F233BA" w:rsidRPr="00B571D1" w:rsidRDefault="00F233BA" w:rsidP="00F233BA">
      <w:pPr>
        <w:ind w:left="720"/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  Overnight fast (10 hrs) and subsequent fast of 4 hrs</w:t>
      </w:r>
    </w:p>
    <w:p w:rsidR="00F233BA" w:rsidRPr="00B571D1" w:rsidRDefault="00F233BA" w:rsidP="00F233BA">
      <w:pPr>
        <w:ind w:left="720"/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</w:t>
      </w:r>
      <w:r w:rsidRPr="00B571D1">
        <w:rPr>
          <w:rFonts w:ascii="Times New Roman" w:hAnsi="Times New Roman" w:cs="Times New Roman"/>
          <w:b/>
          <w:sz w:val="24"/>
          <w:szCs w:val="24"/>
        </w:rPr>
        <w:t>Multiple dose study</w:t>
      </w:r>
      <w:r w:rsidRPr="00B571D1">
        <w:rPr>
          <w:rFonts w:ascii="Times New Roman" w:hAnsi="Times New Roman" w:cs="Times New Roman"/>
          <w:sz w:val="24"/>
          <w:szCs w:val="24"/>
        </w:rPr>
        <w:t>:</w:t>
      </w:r>
    </w:p>
    <w:p w:rsidR="00F233BA" w:rsidRPr="00B571D1" w:rsidRDefault="00F233BA" w:rsidP="00F233BA">
      <w:pPr>
        <w:ind w:left="720"/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    Two hours fasting before and after the dose</w:t>
      </w:r>
    </w:p>
    <w:p w:rsidR="00C81E2E" w:rsidRPr="00B571D1" w:rsidRDefault="00C81E2E" w:rsidP="00C81E2E">
      <w:pPr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81E2E" w:rsidRPr="00B571D1" w:rsidRDefault="00C81E2E" w:rsidP="00C81E2E">
      <w:pPr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110FA" w:rsidRPr="00B571D1" w:rsidRDefault="007C31E8" w:rsidP="00C81E2E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bCs/>
          <w:sz w:val="24"/>
          <w:szCs w:val="24"/>
          <w:u w:val="single"/>
        </w:rPr>
        <w:t>Fed State Studies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Required when: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Drug recommended with food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</w:t>
      </w:r>
      <w:r w:rsidR="00C81E2E" w:rsidRPr="00B571D1">
        <w:rPr>
          <w:rFonts w:ascii="Times New Roman" w:hAnsi="Times New Roman" w:cs="Times New Roman"/>
          <w:sz w:val="24"/>
          <w:szCs w:val="24"/>
        </w:rPr>
        <w:t>Modified release product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Requires consumption of a high fat food, 15 minutes before dosing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Provide 950-1000 kcals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Fat- 50%, Proteins 15-20%, Carbohydrate- 30-35%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Ethnic &amp; cultural variation considered</w:t>
      </w:r>
    </w:p>
    <w:p w:rsidR="004110FA" w:rsidRPr="00B571D1" w:rsidRDefault="007C31E8" w:rsidP="007C31E8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Specified in protocol</w:t>
      </w:r>
    </w:p>
    <w:p w:rsidR="00E55B4C" w:rsidRPr="00B571D1" w:rsidRDefault="00E55B4C" w:rsidP="00E55B4C">
      <w:pPr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>Major Regulatory Agencies</w:t>
      </w:r>
    </w:p>
    <w:p w:rsidR="004110FA" w:rsidRPr="00B571D1" w:rsidRDefault="007C31E8" w:rsidP="007C31E8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U.S. Food and Drug Administration(FDA)</w:t>
      </w:r>
    </w:p>
    <w:p w:rsidR="004110FA" w:rsidRPr="00B571D1" w:rsidRDefault="007C31E8" w:rsidP="007C31E8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lastRenderedPageBreak/>
        <w:t>Health Canada</w:t>
      </w:r>
    </w:p>
    <w:p w:rsidR="004110FA" w:rsidRPr="00B571D1" w:rsidRDefault="007C31E8" w:rsidP="007C31E8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Committee for Proprietary Medicinal Products (CPMP), Europe</w:t>
      </w:r>
    </w:p>
    <w:p w:rsidR="004110FA" w:rsidRPr="00B571D1" w:rsidRDefault="007C31E8" w:rsidP="007C31E8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National Institute of Health Sciences(NIHS), Japan</w:t>
      </w:r>
    </w:p>
    <w:p w:rsidR="00B00A97" w:rsidRPr="00B571D1" w:rsidRDefault="00B00A97" w:rsidP="00B00A97">
      <w:pPr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>Current BE Requirements FDA</w:t>
      </w:r>
    </w:p>
    <w:p w:rsidR="004110FA" w:rsidRPr="00B571D1" w:rsidRDefault="007C31E8" w:rsidP="007C31E8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AUC: 90% Confidence Interval Limits 80-125%</w:t>
      </w:r>
    </w:p>
    <w:p w:rsidR="004110FA" w:rsidRPr="00B571D1" w:rsidRDefault="007C31E8" w:rsidP="007C31E8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C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r w:rsidRPr="00B571D1">
        <w:rPr>
          <w:rFonts w:ascii="Times New Roman" w:hAnsi="Times New Roman" w:cs="Times New Roman"/>
          <w:sz w:val="24"/>
          <w:szCs w:val="24"/>
        </w:rPr>
        <w:t>: 90% Confidence Interval Limits 80-125%</w:t>
      </w:r>
    </w:p>
    <w:p w:rsidR="006E1564" w:rsidRPr="00B571D1" w:rsidRDefault="006E1564" w:rsidP="006E1564">
      <w:pPr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>Current BE Requirements WHO</w:t>
      </w:r>
    </w:p>
    <w:p w:rsidR="004110FA" w:rsidRPr="00B571D1" w:rsidRDefault="007C31E8" w:rsidP="007C31E8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AUC: 90% Confidence Interval Limits 80-125%</w:t>
      </w:r>
    </w:p>
    <w:p w:rsidR="004110FA" w:rsidRPr="00B571D1" w:rsidRDefault="007C31E8" w:rsidP="007C31E8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C</w:t>
      </w:r>
      <w:r w:rsidRPr="00B571D1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r w:rsidRPr="00B571D1">
        <w:rPr>
          <w:rFonts w:ascii="Times New Roman" w:hAnsi="Times New Roman" w:cs="Times New Roman"/>
          <w:sz w:val="24"/>
          <w:szCs w:val="24"/>
        </w:rPr>
        <w:t>: 90% Confidence Interval Limits 80-125%</w:t>
      </w:r>
    </w:p>
    <w:p w:rsidR="004110FA" w:rsidRPr="00B571D1" w:rsidRDefault="007C31E8" w:rsidP="007C31E8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lang w:val="en-CA"/>
        </w:rPr>
        <w:t xml:space="preserve">Tmax   not usually required unless clinically relevant or  important for onset of actions </w:t>
      </w:r>
    </w:p>
    <w:p w:rsidR="004110FA" w:rsidRPr="00B571D1" w:rsidRDefault="007C31E8" w:rsidP="007C31E8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lang w:val="en-CA"/>
        </w:rPr>
        <w:t>Narrow therapeutic range drugs: may need tightening:  90.00-III.II% AUC &amp; also Cmax where relevant</w:t>
      </w:r>
    </w:p>
    <w:p w:rsidR="004110FA" w:rsidRPr="00B571D1" w:rsidRDefault="007C31E8" w:rsidP="007C31E8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  <w:lang w:val="en-CA"/>
        </w:rPr>
        <w:t>For Highly variable drugs: Cmax may be widened 69.84 – 143.19% but must be demonstrated in replicate design</w:t>
      </w:r>
      <w:r w:rsidR="007578F7" w:rsidRPr="00B571D1">
        <w:rPr>
          <w:rFonts w:ascii="Times New Roman" w:hAnsi="Times New Roman" w:cs="Times New Roman"/>
          <w:sz w:val="24"/>
          <w:szCs w:val="24"/>
          <w:lang w:val="en-CA"/>
        </w:rPr>
        <w:t>3</w:t>
      </w:r>
    </w:p>
    <w:p w:rsidR="004B0FC7" w:rsidRPr="00B571D1" w:rsidRDefault="004B0FC7" w:rsidP="004B0FC7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6E1564" w:rsidRPr="00B571D1" w:rsidRDefault="004B0FC7" w:rsidP="006E1564">
      <w:pPr>
        <w:ind w:left="720"/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b/>
          <w:noProof/>
          <w:sz w:val="24"/>
          <w:szCs w:val="24"/>
          <w:u w:val="single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0</wp:posOffset>
            </wp:positionV>
            <wp:extent cx="6338570" cy="3869690"/>
            <wp:effectExtent l="0" t="0" r="5080" b="0"/>
            <wp:wrapTopAndBottom/>
            <wp:docPr id="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8570" cy="3869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3DB2" w:rsidRPr="00B571D1" w:rsidRDefault="00543DB2" w:rsidP="00543DB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571D1">
        <w:rPr>
          <w:rFonts w:ascii="Times New Roman" w:hAnsi="Times New Roman" w:cs="Times New Roman"/>
          <w:b/>
          <w:sz w:val="24"/>
          <w:szCs w:val="24"/>
        </w:rPr>
        <w:t xml:space="preserve">Reference </w:t>
      </w:r>
    </w:p>
    <w:p w:rsidR="00543DB2" w:rsidRPr="00B571D1" w:rsidRDefault="00543DB2" w:rsidP="00543DB2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•  Bioavailability and Bioequivalence.( 2019, March 26). Retrieved from</w:t>
      </w:r>
      <w:r w:rsidR="009B0514" w:rsidRPr="00B571D1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</w:hyperlink>
      <w:hyperlink r:id="rId10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 xml:space="preserve">     https</w:t>
        </w:r>
      </w:hyperlink>
      <w:hyperlink r:id="rId11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://www.ncbi.nlm.nih.gov/pmc/articles/PMC4157693</w:t>
        </w:r>
      </w:hyperlink>
      <w:hyperlink r:id="rId12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543DB2" w:rsidRPr="00B571D1" w:rsidRDefault="00543DB2" w:rsidP="00543DB2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>•  Approved drug products.</w:t>
      </w:r>
      <w:r w:rsidR="009B0514" w:rsidRPr="00B571D1">
        <w:rPr>
          <w:rFonts w:ascii="Times New Roman" w:hAnsi="Times New Roman" w:cs="Times New Roman"/>
          <w:sz w:val="24"/>
          <w:szCs w:val="24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 xml:space="preserve">( 2019, March 26). Retrieved from </w:t>
      </w:r>
    </w:p>
    <w:p w:rsidR="00543DB2" w:rsidRPr="00B571D1" w:rsidRDefault="003655F9" w:rsidP="00543DB2">
      <w:pPr>
        <w:rPr>
          <w:rFonts w:ascii="Times New Roman" w:hAnsi="Times New Roman" w:cs="Times New Roman"/>
          <w:sz w:val="24"/>
          <w:szCs w:val="24"/>
          <w:u w:val="single"/>
        </w:rPr>
      </w:pPr>
      <w:hyperlink r:id="rId13" w:history="1">
        <w:r w:rsidR="00543DB2"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</w:t>
        </w:r>
      </w:hyperlink>
      <w:hyperlink r:id="rId14" w:history="1">
        <w:r w:rsidR="00543DB2"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://</w:t>
        </w:r>
      </w:hyperlink>
      <w:hyperlink r:id="rId15" w:history="1">
        <w:r w:rsidR="00543DB2"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www.fda.gov/media/71474/download</w:t>
        </w:r>
      </w:hyperlink>
    </w:p>
    <w:p w:rsidR="00543DB2" w:rsidRPr="00B571D1" w:rsidRDefault="00543DB2" w:rsidP="00543DB2">
      <w:pPr>
        <w:rPr>
          <w:rFonts w:ascii="Times New Roman" w:hAnsi="Times New Roman" w:cs="Times New Roman"/>
          <w:sz w:val="24"/>
          <w:szCs w:val="24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•  Bioavailability and Bioequivalence Studies Submitted in NDAs or IND.</w:t>
      </w:r>
      <w:r w:rsidR="009B0514" w:rsidRPr="00B571D1">
        <w:rPr>
          <w:rFonts w:ascii="Times New Roman" w:hAnsi="Times New Roman" w:cs="Times New Roman"/>
          <w:sz w:val="24"/>
          <w:szCs w:val="24"/>
        </w:rPr>
        <w:t xml:space="preserve"> </w:t>
      </w:r>
      <w:r w:rsidRPr="00B571D1">
        <w:rPr>
          <w:rFonts w:ascii="Times New Roman" w:hAnsi="Times New Roman" w:cs="Times New Roman"/>
          <w:sz w:val="24"/>
          <w:szCs w:val="24"/>
        </w:rPr>
        <w:t xml:space="preserve">( 2019, March 26). Retrieved from  </w:t>
      </w:r>
      <w:hyperlink r:id="rId16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</w:t>
        </w:r>
      </w:hyperlink>
      <w:hyperlink r:id="rId17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www.fda.gov/regulatory-information</w:t>
        </w:r>
      </w:hyperlink>
    </w:p>
    <w:p w:rsidR="00543DB2" w:rsidRPr="00B571D1" w:rsidRDefault="00543DB2" w:rsidP="00543DB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1D1">
        <w:rPr>
          <w:rFonts w:ascii="Times New Roman" w:hAnsi="Times New Roman" w:cs="Times New Roman"/>
          <w:sz w:val="24"/>
          <w:szCs w:val="24"/>
        </w:rPr>
        <w:t xml:space="preserve"> •  Guidance for organizations performing in vivo 5 bioequivalence studies </w:t>
      </w:r>
      <w:r w:rsidR="009B0514" w:rsidRPr="00B571D1">
        <w:rPr>
          <w:rFonts w:ascii="Times New Roman" w:hAnsi="Times New Roman" w:cs="Times New Roman"/>
          <w:sz w:val="24"/>
          <w:szCs w:val="24"/>
        </w:rPr>
        <w:t>(2019</w:t>
      </w:r>
      <w:r w:rsidRPr="00B571D1">
        <w:rPr>
          <w:rFonts w:ascii="Times New Roman" w:hAnsi="Times New Roman" w:cs="Times New Roman"/>
          <w:sz w:val="24"/>
          <w:szCs w:val="24"/>
        </w:rPr>
        <w:t xml:space="preserve">, March 26). Retrieved from </w:t>
      </w:r>
      <w:hyperlink r:id="rId18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</w:t>
        </w:r>
      </w:hyperlink>
      <w:hyperlink r:id="rId19" w:history="1">
        <w:r w:rsidRPr="00B571D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www.who.int/medicines/areas/quality_safety/quality_assurance</w:t>
        </w:r>
      </w:hyperlink>
      <w:r w:rsidRPr="00B571D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A62A6" w:rsidRPr="00B571D1" w:rsidRDefault="00FA62A6" w:rsidP="0076185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FA62A6" w:rsidRPr="00B57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5F9" w:rsidRDefault="003655F9" w:rsidP="00047E8A">
      <w:pPr>
        <w:spacing w:after="0" w:line="240" w:lineRule="auto"/>
      </w:pPr>
      <w:r>
        <w:separator/>
      </w:r>
    </w:p>
  </w:endnote>
  <w:endnote w:type="continuationSeparator" w:id="0">
    <w:p w:rsidR="003655F9" w:rsidRDefault="003655F9" w:rsidP="0004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5F9" w:rsidRDefault="003655F9" w:rsidP="00047E8A">
      <w:pPr>
        <w:spacing w:after="0" w:line="240" w:lineRule="auto"/>
      </w:pPr>
      <w:r>
        <w:separator/>
      </w:r>
    </w:p>
  </w:footnote>
  <w:footnote w:type="continuationSeparator" w:id="0">
    <w:p w:rsidR="003655F9" w:rsidRDefault="003655F9" w:rsidP="00047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4934"/>
    <w:multiLevelType w:val="hybridMultilevel"/>
    <w:tmpl w:val="164261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AB6140"/>
    <w:multiLevelType w:val="hybridMultilevel"/>
    <w:tmpl w:val="47DC4EC4"/>
    <w:lvl w:ilvl="0" w:tplc="0986C0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10B3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877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BEC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98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749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F64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7C0E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69E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64E14"/>
    <w:multiLevelType w:val="hybridMultilevel"/>
    <w:tmpl w:val="100865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313BD0"/>
    <w:multiLevelType w:val="hybridMultilevel"/>
    <w:tmpl w:val="D0EC86DC"/>
    <w:lvl w:ilvl="0" w:tplc="43E8AA6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0A1FB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8C212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80503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D0FD9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4EA828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8DCD17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CD232B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8962C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0C1F3557"/>
    <w:multiLevelType w:val="hybridMultilevel"/>
    <w:tmpl w:val="6F26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714EC"/>
    <w:multiLevelType w:val="hybridMultilevel"/>
    <w:tmpl w:val="862CC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553BC"/>
    <w:multiLevelType w:val="hybridMultilevel"/>
    <w:tmpl w:val="4260B378"/>
    <w:lvl w:ilvl="0" w:tplc="764839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A079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68E1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66AA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5A8B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AA37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F29E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80C1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9654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B217B"/>
    <w:multiLevelType w:val="hybridMultilevel"/>
    <w:tmpl w:val="4A9EE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2852DB"/>
    <w:multiLevelType w:val="hybridMultilevel"/>
    <w:tmpl w:val="763C6AE2"/>
    <w:lvl w:ilvl="0" w:tplc="DF766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5CA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1ED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7CC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E881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F83B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E0CA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DC35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04FE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F31CD4"/>
    <w:multiLevelType w:val="hybridMultilevel"/>
    <w:tmpl w:val="63C018C6"/>
    <w:lvl w:ilvl="0" w:tplc="D1BA6C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0C1C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06A7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A29E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7000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6218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608C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042A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A4D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9504A"/>
    <w:multiLevelType w:val="hybridMultilevel"/>
    <w:tmpl w:val="F14C73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32540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96837B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99055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62E2CD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5B2CBB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FCC87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7EA99A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68EE4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31D90F3C"/>
    <w:multiLevelType w:val="hybridMultilevel"/>
    <w:tmpl w:val="516888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742F0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B80C7D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C7883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154FFF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6C91C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1582B8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9E2F74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06AB4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32A46ECD"/>
    <w:multiLevelType w:val="hybridMultilevel"/>
    <w:tmpl w:val="0F5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A013F"/>
    <w:multiLevelType w:val="hybridMultilevel"/>
    <w:tmpl w:val="D2CEC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181B8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FDEEB0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512986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A63FD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BE6942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0683B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FC03FA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728547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A870A0A"/>
    <w:multiLevelType w:val="hybridMultilevel"/>
    <w:tmpl w:val="9F9CC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F1937"/>
    <w:multiLevelType w:val="hybridMultilevel"/>
    <w:tmpl w:val="F8EAE7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F09F6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1C052B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E1E0F7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789B1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604676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5C4DC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92CA45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D0A099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45D37B2B"/>
    <w:multiLevelType w:val="hybridMultilevel"/>
    <w:tmpl w:val="00EA74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F31591"/>
    <w:multiLevelType w:val="hybridMultilevel"/>
    <w:tmpl w:val="2506A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50AC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E49F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CBB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DEA8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B8DB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5EE6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7209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6234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0618D"/>
    <w:multiLevelType w:val="hybridMultilevel"/>
    <w:tmpl w:val="DA7C4A5C"/>
    <w:lvl w:ilvl="0" w:tplc="867602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50AC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E49F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CBB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DEA8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B8DB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5EE6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7209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6234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67A1A"/>
    <w:multiLevelType w:val="hybridMultilevel"/>
    <w:tmpl w:val="F528A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107102">
      <w:start w:val="278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048F3E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A16D5D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33A18F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248B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2CFBD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6AA12F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8C2132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560C59A7"/>
    <w:multiLevelType w:val="hybridMultilevel"/>
    <w:tmpl w:val="34B43D8E"/>
    <w:lvl w:ilvl="0" w:tplc="E12AA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9499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76C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74F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DECD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22E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88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9656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0282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1B0830"/>
    <w:multiLevelType w:val="hybridMultilevel"/>
    <w:tmpl w:val="799A7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D240F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A4C988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509E5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B5084E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10763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29ECEE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A8A108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956A34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 w15:restartNumberingAfterBreak="0">
    <w:nsid w:val="636B4377"/>
    <w:multiLevelType w:val="hybridMultilevel"/>
    <w:tmpl w:val="F662C3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E26A9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76C48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BCE62F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81281E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B8CED7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7BC32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67272E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504BB5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 w15:restartNumberingAfterBreak="0">
    <w:nsid w:val="6E672DFC"/>
    <w:multiLevelType w:val="hybridMultilevel"/>
    <w:tmpl w:val="AA5E802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9C3DFF"/>
    <w:multiLevelType w:val="hybridMultilevel"/>
    <w:tmpl w:val="FBE4F19A"/>
    <w:lvl w:ilvl="0" w:tplc="0409000B">
      <w:start w:val="1"/>
      <w:numFmt w:val="bullet"/>
      <w:lvlText w:val=""/>
      <w:lvlJc w:val="left"/>
      <w:pPr>
        <w:ind w:left="41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60" w:hanging="360"/>
      </w:pPr>
      <w:rPr>
        <w:rFonts w:ascii="Wingdings" w:hAnsi="Wingdings" w:hint="default"/>
      </w:rPr>
    </w:lvl>
  </w:abstractNum>
  <w:abstractNum w:abstractNumId="25" w15:restartNumberingAfterBreak="0">
    <w:nsid w:val="7B0A03FA"/>
    <w:multiLevelType w:val="hybridMultilevel"/>
    <w:tmpl w:val="610C651A"/>
    <w:lvl w:ilvl="0" w:tplc="2F9AA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3C26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FC6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02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2A3C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40B4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CC0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8A5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06DC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5A50C6"/>
    <w:multiLevelType w:val="hybridMultilevel"/>
    <w:tmpl w:val="12FA73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54C2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3741D7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F9C214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90C31E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42876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D4A710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5A8564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1DEA11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24"/>
  </w:num>
  <w:num w:numId="3">
    <w:abstractNumId w:val="5"/>
  </w:num>
  <w:num w:numId="4">
    <w:abstractNumId w:val="16"/>
  </w:num>
  <w:num w:numId="5">
    <w:abstractNumId w:val="11"/>
  </w:num>
  <w:num w:numId="6">
    <w:abstractNumId w:val="9"/>
  </w:num>
  <w:num w:numId="7">
    <w:abstractNumId w:val="18"/>
  </w:num>
  <w:num w:numId="8">
    <w:abstractNumId w:val="17"/>
  </w:num>
  <w:num w:numId="9">
    <w:abstractNumId w:val="0"/>
  </w:num>
  <w:num w:numId="10">
    <w:abstractNumId w:val="6"/>
  </w:num>
  <w:num w:numId="11">
    <w:abstractNumId w:val="2"/>
  </w:num>
  <w:num w:numId="12">
    <w:abstractNumId w:val="22"/>
  </w:num>
  <w:num w:numId="13">
    <w:abstractNumId w:val="3"/>
  </w:num>
  <w:num w:numId="14">
    <w:abstractNumId w:val="25"/>
  </w:num>
  <w:num w:numId="15">
    <w:abstractNumId w:val="8"/>
  </w:num>
  <w:num w:numId="16">
    <w:abstractNumId w:val="19"/>
  </w:num>
  <w:num w:numId="17">
    <w:abstractNumId w:val="23"/>
  </w:num>
  <w:num w:numId="18">
    <w:abstractNumId w:val="14"/>
  </w:num>
  <w:num w:numId="19">
    <w:abstractNumId w:val="10"/>
  </w:num>
  <w:num w:numId="20">
    <w:abstractNumId w:val="21"/>
  </w:num>
  <w:num w:numId="21">
    <w:abstractNumId w:val="20"/>
  </w:num>
  <w:num w:numId="22">
    <w:abstractNumId w:val="1"/>
  </w:num>
  <w:num w:numId="23">
    <w:abstractNumId w:val="12"/>
  </w:num>
  <w:num w:numId="24">
    <w:abstractNumId w:val="7"/>
  </w:num>
  <w:num w:numId="25">
    <w:abstractNumId w:val="26"/>
  </w:num>
  <w:num w:numId="26">
    <w:abstractNumId w:val="15"/>
  </w:num>
  <w:num w:numId="27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C9E"/>
    <w:rsid w:val="0003541C"/>
    <w:rsid w:val="00047E8A"/>
    <w:rsid w:val="001741A5"/>
    <w:rsid w:val="001B4B60"/>
    <w:rsid w:val="003655F9"/>
    <w:rsid w:val="003B335A"/>
    <w:rsid w:val="004110FA"/>
    <w:rsid w:val="00411528"/>
    <w:rsid w:val="004B0FC7"/>
    <w:rsid w:val="005202AC"/>
    <w:rsid w:val="00523763"/>
    <w:rsid w:val="00543DB2"/>
    <w:rsid w:val="005858CD"/>
    <w:rsid w:val="005E4D20"/>
    <w:rsid w:val="006239EC"/>
    <w:rsid w:val="00644C9E"/>
    <w:rsid w:val="006E1564"/>
    <w:rsid w:val="0075169E"/>
    <w:rsid w:val="007578F7"/>
    <w:rsid w:val="0076185B"/>
    <w:rsid w:val="007C2AA1"/>
    <w:rsid w:val="007C31E8"/>
    <w:rsid w:val="009210B4"/>
    <w:rsid w:val="00932F10"/>
    <w:rsid w:val="009B0514"/>
    <w:rsid w:val="00A60405"/>
    <w:rsid w:val="00B00A97"/>
    <w:rsid w:val="00B21C7F"/>
    <w:rsid w:val="00B571D1"/>
    <w:rsid w:val="00B959ED"/>
    <w:rsid w:val="00BB480A"/>
    <w:rsid w:val="00BF0954"/>
    <w:rsid w:val="00C81E2E"/>
    <w:rsid w:val="00CF6990"/>
    <w:rsid w:val="00D23BAA"/>
    <w:rsid w:val="00D51589"/>
    <w:rsid w:val="00DF29B9"/>
    <w:rsid w:val="00E350C9"/>
    <w:rsid w:val="00E44A55"/>
    <w:rsid w:val="00E501D0"/>
    <w:rsid w:val="00E55B4C"/>
    <w:rsid w:val="00E738F5"/>
    <w:rsid w:val="00EF6B5A"/>
    <w:rsid w:val="00F233BA"/>
    <w:rsid w:val="00F8104F"/>
    <w:rsid w:val="00FA3D2A"/>
    <w:rsid w:val="00FA62A6"/>
    <w:rsid w:val="00FF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C5E54"/>
  <w15:chartTrackingRefBased/>
  <w15:docId w15:val="{0364250C-D2C3-4C06-8C50-6D5F32A2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D20"/>
    <w:pPr>
      <w:ind w:left="720"/>
      <w:contextualSpacing/>
    </w:pPr>
  </w:style>
  <w:style w:type="table" w:styleId="TableGrid">
    <w:name w:val="Table Grid"/>
    <w:basedOn w:val="TableNormal"/>
    <w:uiPriority w:val="39"/>
    <w:rsid w:val="00761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3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47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E8A"/>
  </w:style>
  <w:style w:type="paragraph" w:styleId="Footer">
    <w:name w:val="footer"/>
    <w:basedOn w:val="Normal"/>
    <w:link w:val="FooterChar"/>
    <w:uiPriority w:val="99"/>
    <w:unhideWhenUsed/>
    <w:rsid w:val="00047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E8A"/>
  </w:style>
  <w:style w:type="character" w:styleId="Hyperlink">
    <w:name w:val="Hyperlink"/>
    <w:basedOn w:val="DefaultParagraphFont"/>
    <w:uiPriority w:val="99"/>
    <w:unhideWhenUsed/>
    <w:rsid w:val="00543D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93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00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671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71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489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7890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4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61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4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7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2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2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03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281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11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867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9875">
          <w:marLeft w:val="547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22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790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25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3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7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4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3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2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0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6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775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6268">
          <w:marLeft w:val="547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71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74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4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610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603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5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6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06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95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0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7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30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72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22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80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127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938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02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02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59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46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86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40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4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11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48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20346">
          <w:marLeft w:val="547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78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5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77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78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17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1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0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7442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4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6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777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236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01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10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61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3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2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96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5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9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64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5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40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15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6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0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1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0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56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410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861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318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5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6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0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422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98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292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712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787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6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040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326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53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06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57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82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9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8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41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61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93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31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69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da.gov/media/71474/download" TargetMode="External"/><Relationship Id="rId18" Type="http://schemas.openxmlformats.org/officeDocument/2006/relationships/hyperlink" Target="https://www.who.int/medicines/areas/quality_safety/quality_assuranc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drimranmasood@iub.edu.pk" TargetMode="External"/><Relationship Id="rId12" Type="http://schemas.openxmlformats.org/officeDocument/2006/relationships/hyperlink" Target="https://www.ncbi.nlm.nih.gov/pmc/articles/PMC4157693/" TargetMode="External"/><Relationship Id="rId17" Type="http://schemas.openxmlformats.org/officeDocument/2006/relationships/hyperlink" Target="https://www.fda.gov/regulatory-informatio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da.gov/regulatory-information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bi.nlm.nih.gov/pmc/articles/PMC415769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da.gov/media/71474/download" TargetMode="External"/><Relationship Id="rId10" Type="http://schemas.openxmlformats.org/officeDocument/2006/relationships/hyperlink" Target="https://www.ncbi.nlm.nih.gov/pmc/articles/PMC4157693/" TargetMode="External"/><Relationship Id="rId19" Type="http://schemas.openxmlformats.org/officeDocument/2006/relationships/hyperlink" Target="https://www.who.int/medicines/areas/quality_safety/quality_assura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mc/articles/PMC4157693/" TargetMode="External"/><Relationship Id="rId14" Type="http://schemas.openxmlformats.org/officeDocument/2006/relationships/hyperlink" Target="https://www.fda.gov/media/71474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9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haier</dc:creator>
  <cp:keywords/>
  <dc:description/>
  <cp:lastModifiedBy>Grace</cp:lastModifiedBy>
  <cp:revision>43</cp:revision>
  <dcterms:created xsi:type="dcterms:W3CDTF">2019-04-09T01:04:00Z</dcterms:created>
  <dcterms:modified xsi:type="dcterms:W3CDTF">2020-03-31T12:59:00Z</dcterms:modified>
</cp:coreProperties>
</file>